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24"/>
          <w:szCs w:val="28"/>
          <w:u w:val="single"/>
        </w:rPr>
      </w:pPr>
      <w:r>
        <w:rPr>
          <w:rFonts w:ascii="Calibri" w:hAnsi="Calibri"/>
          <w:b/>
          <w:sz w:val="24"/>
          <w:szCs w:val="28"/>
          <w:u w:val="single"/>
        </w:rPr>
        <w:t>TERMO DE REFERÊNCIA PARA CRITÉRIO LOCACIONAL</w:t>
      </w:r>
    </w:p>
    <w:p>
      <w:pPr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Localização prevista em área de drenagem à montante de trecho de curso d’água enquadrado em classe especial</w:t>
      </w:r>
    </w:p>
    <w:p>
      <w:pPr>
        <w:spacing w:after="0"/>
        <w:jc w:val="center"/>
        <w:rPr>
          <w:rFonts w:ascii="Calibri" w:hAnsi="Calibri" w:cs="Arial"/>
          <w:b/>
        </w:rPr>
      </w:pPr>
    </w:p>
    <w:p>
      <w:pPr>
        <w:pStyle w:val="18"/>
        <w:numPr>
          <w:ilvl w:val="0"/>
          <w:numId w:val="2"/>
        </w:numPr>
        <w:spacing w:after="0"/>
        <w:ind w:left="426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Introdução</w:t>
      </w:r>
    </w:p>
    <w:p>
      <w:pPr>
        <w:spacing w:after="0"/>
        <w:jc w:val="both"/>
        <w:rPr>
          <w:rFonts w:ascii="Calibri" w:hAnsi="Calibri" w:cs="Arial"/>
          <w:b/>
          <w:u w:val="single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A Deliberação Normativa </w:t>
      </w:r>
      <w:r>
        <w:rPr>
          <w:rFonts w:ascii="Calibri" w:hAnsi="Calibri" w:cs="Arial"/>
        </w:rPr>
        <w:t>- DN</w:t>
      </w:r>
      <w:r>
        <w:rPr>
          <w:rFonts w:cs="Arial"/>
        </w:rPr>
        <w:t xml:space="preserve"> COPAM nº 217/2017 estabelece, em sua Tabela 4, os critérios locacionais para o enquadramento de empreendimentos passíveis de regularização ambiental.</w:t>
      </w:r>
    </w:p>
    <w:p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critério abaixo relacionado se refere à localização do empreendimento com relação ao enquadramento do curso d’água.</w:t>
      </w:r>
    </w:p>
    <w:tbl>
      <w:tblPr>
        <w:tblStyle w:val="12"/>
        <w:tblW w:w="8890" w:type="dxa"/>
        <w:tblInd w:w="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Critério Locacional de Enquadramento previsto pela DN COPAM 217/2017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Peso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Localização prevista em área de drenagem a montante de trecho de curso d’água enquadrado em classe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30" w:lineRule="atLeast"/>
              <w:jc w:val="center"/>
            </w:pPr>
            <w:r>
              <w:t> 1</w:t>
            </w:r>
          </w:p>
        </w:tc>
      </w:tr>
    </w:tbl>
    <w:p>
      <w:pPr>
        <w:spacing w:line="256" w:lineRule="auto"/>
        <w:ind w:left="720"/>
        <w:jc w:val="both"/>
        <w:rPr>
          <w:rFonts w:cs="Arial"/>
          <w:b/>
        </w:rPr>
      </w:pPr>
    </w:p>
    <w:p>
      <w:pPr>
        <w:pStyle w:val="18"/>
        <w:numPr>
          <w:ilvl w:val="0"/>
          <w:numId w:val="2"/>
        </w:numPr>
        <w:spacing w:after="0"/>
        <w:ind w:left="426"/>
        <w:jc w:val="both"/>
        <w:rPr>
          <w:rFonts w:cs="Arial"/>
          <w:b/>
          <w:u w:val="single"/>
        </w:rPr>
      </w:pPr>
      <w:r>
        <w:rPr>
          <w:rFonts w:ascii="Calibri" w:hAnsi="Calibri" w:cs="Arial"/>
          <w:b/>
          <w:u w:val="single"/>
        </w:rPr>
        <w:t>Caracterização</w:t>
      </w:r>
      <w:r>
        <w:rPr>
          <w:rFonts w:cs="Arial"/>
          <w:b/>
          <w:u w:val="single"/>
        </w:rPr>
        <w:t xml:space="preserve"> dos critérios locacionais definidos pela DN COPAM 217 e objeto do Termo de Referência</w:t>
      </w:r>
    </w:p>
    <w:p>
      <w:pPr>
        <w:pStyle w:val="18"/>
        <w:spacing w:line="256" w:lineRule="auto"/>
        <w:ind w:left="284"/>
        <w:jc w:val="both"/>
        <w:rPr>
          <w:rFonts w:cs="Arial"/>
          <w:b/>
          <w:u w:val="single"/>
        </w:rPr>
      </w:pPr>
    </w:p>
    <w:p>
      <w:pPr>
        <w:spacing w:line="256" w:lineRule="auto"/>
        <w:ind w:left="720"/>
        <w:jc w:val="both"/>
        <w:rPr>
          <w:rFonts w:cs="Arial"/>
          <w:b/>
        </w:rPr>
      </w:pPr>
      <w:r>
        <w:rPr>
          <w:rFonts w:cs="Arial"/>
          <w:b/>
        </w:rPr>
        <w:t>2.1 Considerações sobre enquadramento de curso d’água na classe especial</w:t>
      </w:r>
    </w:p>
    <w:p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 acordo com a Resolução CONAMA n° 430/11, em seu artigo 11, e a Deliberação Normativa COPAM/CERH nº 01/2008, artigo 28, é vedado o lançamento de efluentes ou disposição de resíduos domésticos, agropecuários, de aquicultura, industriais e de quaisquer outras fontes poluentes, mesmo que tratados. </w:t>
      </w:r>
      <w:r>
        <w:rPr>
          <w:color w:val="000000"/>
          <w:shd w:val="clear" w:color="auto" w:fill="FFFFFF"/>
        </w:rPr>
        <w:t>Nas águas de Classe Especial deverão ser mantidas as condições naturais do corpo d’água.</w:t>
      </w:r>
    </w:p>
    <w:p>
      <w:pPr>
        <w:spacing w:after="0"/>
        <w:jc w:val="both"/>
        <w:rPr>
          <w:rFonts w:ascii="Calibri" w:hAnsi="Calibri" w:cs="Arial"/>
        </w:rPr>
      </w:pPr>
    </w:p>
    <w:p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DN COPAM nº 217/2017, na Tabela 4 do Anexo Único, estabelece como fator locacional de enquadramento, a localização do empreendimento ou atividade em área de drenagem </w:t>
      </w:r>
      <w:r>
        <w:rPr>
          <w:rFonts w:eastAsia="Times New Roman" w:cs="Times New Roman"/>
        </w:rPr>
        <w:t xml:space="preserve">a montante de trecho de curso d’água enquadrado em classe especial. Desse modo, é </w:t>
      </w:r>
      <w:r>
        <w:rPr>
          <w:rFonts w:ascii="Calibri" w:hAnsi="Calibri" w:cs="Arial"/>
        </w:rPr>
        <w:t>objeto deste Termo de Referência os estudos necessários para avaliação desse critério locacional nos processos de licenciamento ambiental.</w:t>
      </w:r>
    </w:p>
    <w:p>
      <w:pPr>
        <w:spacing w:after="0"/>
        <w:jc w:val="both"/>
        <w:rPr>
          <w:rFonts w:ascii="Calibri" w:hAnsi="Calibri" w:cs="Arial"/>
        </w:rPr>
      </w:pPr>
    </w:p>
    <w:p>
      <w:pPr>
        <w:spacing w:line="256" w:lineRule="auto"/>
        <w:ind w:left="720"/>
        <w:jc w:val="both"/>
        <w:rPr>
          <w:rFonts w:cs="Arial"/>
          <w:b/>
        </w:rPr>
      </w:pPr>
      <w:r>
        <w:rPr>
          <w:rFonts w:cs="Arial"/>
          <w:b/>
        </w:rPr>
        <w:t>2.2 Orientações gerais sobre os estudos a serem apresentados</w:t>
      </w:r>
    </w:p>
    <w:p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Arial"/>
        </w:rPr>
        <w:t xml:space="preserve">Os estudos devem ser realizados por profissionais legalmente habilitados, devendo ser anexadas ao mesmo as Anotações de Responsabilidade Técnica - ARTs dos profissionais responsáveis. Os </w:t>
      </w:r>
      <w:r>
        <w:rPr>
          <w:rFonts w:ascii="Calibri" w:hAnsi="Calibri"/>
        </w:rPr>
        <w:t>dados primários e/ou de dados secundários devem ser devidamente referenciados.</w:t>
      </w:r>
    </w:p>
    <w:p>
      <w:pPr>
        <w:jc w:val="both"/>
        <w:rPr>
          <w:rFonts w:ascii="Calibri" w:hAnsi="Calibri" w:cs="Times New Roman"/>
        </w:rPr>
      </w:pPr>
      <w:r>
        <w:rPr>
          <w:rFonts w:ascii="Calibri" w:hAnsi="Calibri"/>
        </w:rPr>
        <w:t>O Estudo deve apresentar a seguinte estrutura mínima, podendo ser acrescentados tópicos, em função de demanda específica identificada pela equipe de elaboração:</w:t>
      </w:r>
    </w:p>
    <w:p>
      <w:pPr>
        <w:pStyle w:val="18"/>
        <w:numPr>
          <w:ilvl w:val="0"/>
          <w:numId w:val="3"/>
        </w:numPr>
        <w:spacing w:after="0" w:line="256" w:lineRule="auto"/>
        <w:jc w:val="both"/>
        <w:rPr>
          <w:rFonts w:ascii="Calibri" w:hAnsi="Calibri"/>
        </w:rPr>
      </w:pPr>
      <w:r>
        <w:t>Identificação do empreendimento e do formulário de orientação básica e/ou processo de regularização (COPAM);</w:t>
      </w:r>
    </w:p>
    <w:p>
      <w:pPr>
        <w:pStyle w:val="18"/>
        <w:numPr>
          <w:ilvl w:val="0"/>
          <w:numId w:val="3"/>
        </w:numPr>
        <w:spacing w:after="0" w:line="256" w:lineRule="auto"/>
        <w:jc w:val="both"/>
      </w:pPr>
      <w:r>
        <w:t>Localização do empreendimento com relação ao fator locacional abrangido;</w:t>
      </w:r>
    </w:p>
    <w:p>
      <w:pPr>
        <w:pStyle w:val="18"/>
        <w:numPr>
          <w:ilvl w:val="0"/>
          <w:numId w:val="3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Conteúdo específico, definido no item 2.3 desse termo de referência; </w:t>
      </w:r>
    </w:p>
    <w:p>
      <w:pPr>
        <w:pStyle w:val="18"/>
        <w:numPr>
          <w:ilvl w:val="0"/>
          <w:numId w:val="3"/>
        </w:numPr>
        <w:spacing w:after="0" w:line="256" w:lineRule="auto"/>
        <w:jc w:val="both"/>
      </w:pPr>
      <w:r>
        <w:t>Identificação do(s) responsável(is) pela elaboração do estudo;</w:t>
      </w:r>
    </w:p>
    <w:p>
      <w:pPr>
        <w:pStyle w:val="18"/>
        <w:numPr>
          <w:ilvl w:val="0"/>
          <w:numId w:val="3"/>
        </w:numPr>
        <w:spacing w:after="0" w:line="256" w:lineRule="auto"/>
        <w:jc w:val="both"/>
      </w:pPr>
      <w:r>
        <w:t xml:space="preserve">Referências Bibliográficas. </w:t>
      </w:r>
    </w:p>
    <w:p>
      <w:pPr>
        <w:spacing w:after="0"/>
        <w:jc w:val="both"/>
        <w:rPr>
          <w:rFonts w:ascii="Calibri" w:hAnsi="Calibri" w:cs="Arial"/>
        </w:rPr>
      </w:pPr>
    </w:p>
    <w:p>
      <w:pPr>
        <w:spacing w:line="256" w:lineRule="auto"/>
        <w:ind w:left="720"/>
        <w:jc w:val="both"/>
        <w:rPr>
          <w:rFonts w:cs="Arial"/>
          <w:b/>
        </w:rPr>
      </w:pPr>
      <w:r>
        <w:rPr>
          <w:rFonts w:cs="Arial"/>
          <w:b/>
        </w:rPr>
        <w:t>2.3 Estudos recomendados para mitigar eventuais impactos na qualidade das águas superficiais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>Apresentar caracterização das bacias hidrográficas e a rede de drenagem superficial onde se insere o empreendimento, com base em levantamentos de fotos aéreas, mapeamentos e estudos existentes;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>Identificar o enquadramento legal dos corpos d’água da Área de Influência Direta - AID destacando os da Classe Especial e de Classe 1 de acordo com a respectiva legislação, os que são utilizados ou estão a montante do abastecimento público (neste caso indicar os pontos de captação), bem como os que estão a montante de Unidades de Conservação;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>Indicar os usos predominantes das águas na AID, destacando aspectos relevantes como abastecimento público, uso industrial, irrigação, lazer, proteção de comunidades aquáticas, geração de energia, navegação, entre outros;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>Apresentar dados de qualidade das águas da (s) UPGRH (s) e das sub-bacia em que se situa o empreendimento, consolidados e tratados em forma de relatório, a partir de dados existentes (por exemplo, relatórios do IGAM e Plano de Bacia);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>Apresentar dados qualitativos e quantitativos dos produtos e subprodutos gerados por cada fase do empreendimento, se for o caso, matérias primas e produtos auxiliares (combustível, insumos etc.) necessários ao processo industrial, discorrendo sobre o gerenciamento dos mesmos (escoamento, formas de transporte, manuseio, armazenagem etc.).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>Caracterizar a destinação dos efluentes e resíduos gerados no empreendimento.</w:t>
      </w:r>
    </w:p>
    <w:p>
      <w:pPr>
        <w:pStyle w:val="2"/>
        <w:keepLines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</w:pPr>
      <w:r>
        <w:rPr>
          <w:rFonts w:eastAsia="Times New Roman" w:cs="Arial" w:asciiTheme="minorHAnsi" w:hAnsiTheme="minorHAnsi"/>
          <w:b w:val="0"/>
          <w:color w:val="auto"/>
          <w:kern w:val="32"/>
          <w:sz w:val="22"/>
          <w:szCs w:val="22"/>
          <w:lang w:eastAsia="pt-BR"/>
        </w:rPr>
        <w:t xml:space="preserve">Apresentar programa de monitoramento do uso dos usos de recurso hídrico realizados pelo empreendimento. </w:t>
      </w:r>
    </w:p>
    <w:p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dxa"/>
      <w:tblInd w:w="-10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49"/>
      <w:gridCol w:w="871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66" w:hRule="atLeast"/>
      </w:trPr>
      <w:tc>
        <w:tcPr>
          <w:tcW w:w="1349" w:type="dxa"/>
        </w:tcPr>
        <w:p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hint="default" w:ascii="Arial" w:hAnsi="Arial" w:cs="Arial"/>
              <w:b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100330</wp:posOffset>
                </wp:positionV>
                <wp:extent cx="570230" cy="672465"/>
                <wp:effectExtent l="0" t="0" r="1270" b="13335"/>
                <wp:wrapSquare wrapText="bothSides"/>
                <wp:docPr id="2" name="Imagem 2" descr="Sem tít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Sem títul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23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16" w:type="dxa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hAnsi="Arial" w:cs="Arial"/>
              <w:bCs/>
              <w:sz w:val="20"/>
              <w:szCs w:val="20"/>
              <w:lang w:eastAsia="pt-BR"/>
            </w:rPr>
          </w:pPr>
        </w:p>
        <w:p>
          <w:pPr>
            <w:pStyle w:val="13"/>
            <w:ind w:left="220" w:leftChars="100" w:firstLine="0" w:firstLineChars="0"/>
            <w:jc w:val="left"/>
            <w:rPr>
              <w:rFonts w:hint="default" w:ascii="Cambria" w:hAnsi="Cambria" w:cs="Cambria"/>
              <w:b/>
              <w:sz w:val="24"/>
              <w:szCs w:val="24"/>
              <w:lang w:val="pt-BR"/>
            </w:rPr>
          </w:pPr>
          <w:r>
            <w:rPr>
              <w:rFonts w:hint="default" w:ascii="Cambria" w:hAnsi="Cambria" w:cs="Cambria"/>
              <w:b/>
              <w:sz w:val="24"/>
              <w:szCs w:val="24"/>
              <w:lang w:val="pt-BR"/>
            </w:rPr>
            <w:t>Prefeitura Municipal de Pedro Leopoldo</w:t>
          </w:r>
        </w:p>
        <w:p>
          <w:pPr>
            <w:spacing w:line="240" w:lineRule="auto"/>
            <w:ind w:left="220" w:leftChars="100" w:firstLine="0" w:firstLineChars="0"/>
            <w:jc w:val="left"/>
            <w:rPr>
              <w:rFonts w:hint="default" w:ascii="Cambria" w:hAnsi="Cambria" w:cs="Cambria"/>
              <w:b/>
              <w:sz w:val="24"/>
              <w:szCs w:val="24"/>
              <w:lang w:val="pt-BR"/>
            </w:rPr>
          </w:pPr>
          <w:bookmarkStart w:id="0" w:name="_GoBack"/>
          <w:bookmarkEnd w:id="0"/>
          <w:r>
            <w:rPr>
              <w:rFonts w:hint="default" w:ascii="Cambria" w:hAnsi="Cambria" w:cs="Cambria"/>
              <w:b/>
              <w:sz w:val="24"/>
              <w:szCs w:val="24"/>
              <w:lang w:val="pt-BR"/>
            </w:rPr>
            <w:t>Secretaria de Meio Ambiente</w:t>
          </w:r>
        </w:p>
        <w:p>
          <w:pPr>
            <w:spacing w:line="240" w:lineRule="auto"/>
            <w:ind w:left="220" w:leftChars="100" w:firstLine="0" w:firstLineChars="0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hint="default" w:ascii="Cambria" w:hAnsi="Cambria" w:cs="Cambria"/>
              <w:b/>
              <w:sz w:val="24"/>
              <w:szCs w:val="24"/>
              <w:lang w:val="pt-BR"/>
            </w:rPr>
            <w:t>Conselho Municipal de Meio Ambiente - COMMAM</w:t>
          </w:r>
        </w:p>
        <w:p>
          <w:pPr>
            <w:tabs>
              <w:tab w:val="center" w:pos="4252"/>
              <w:tab w:val="right" w:pos="8504"/>
            </w:tabs>
            <w:spacing w:after="0"/>
            <w:jc w:val="both"/>
            <w:rPr>
              <w:rFonts w:ascii="Arial" w:hAnsi="Arial" w:cs="Arial"/>
              <w:bCs/>
              <w:sz w:val="20"/>
              <w:szCs w:val="20"/>
              <w:lang w:eastAsia="pt-BR"/>
            </w:rPr>
          </w:pPr>
        </w:p>
      </w:tc>
    </w:tr>
  </w:tbl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47C38"/>
    <w:multiLevelType w:val="multilevel"/>
    <w:tmpl w:val="1AD47C3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6038E"/>
    <w:multiLevelType w:val="multilevel"/>
    <w:tmpl w:val="2D56038E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pStyle w:val="3"/>
      <w:lvlText w:val="%2."/>
      <w:lvlJc w:val="left"/>
      <w:pPr>
        <w:ind w:left="720" w:firstLine="0"/>
      </w:pPr>
    </w:lvl>
    <w:lvl w:ilvl="2" w:tentative="0">
      <w:start w:val="1"/>
      <w:numFmt w:val="decimal"/>
      <w:pStyle w:val="4"/>
      <w:lvlText w:val="%3."/>
      <w:lvlJc w:val="left"/>
      <w:pPr>
        <w:ind w:left="1440" w:firstLine="0"/>
      </w:pPr>
    </w:lvl>
    <w:lvl w:ilvl="3" w:tentative="0">
      <w:start w:val="1"/>
      <w:numFmt w:val="lowerLetter"/>
      <w:pStyle w:val="5"/>
      <w:lvlText w:val="%4)"/>
      <w:lvlJc w:val="left"/>
      <w:pPr>
        <w:ind w:left="2160" w:firstLine="0"/>
      </w:pPr>
    </w:lvl>
    <w:lvl w:ilvl="4" w:tentative="0">
      <w:start w:val="1"/>
      <w:numFmt w:val="decimal"/>
      <w:pStyle w:val="6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2">
    <w:nsid w:val="5B42486B"/>
    <w:multiLevelType w:val="multilevel"/>
    <w:tmpl w:val="5B4248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0B"/>
    <w:rsid w:val="004473F4"/>
    <w:rsid w:val="005273B6"/>
    <w:rsid w:val="006E520B"/>
    <w:rsid w:val="008E37E4"/>
    <w:rsid w:val="009F4E4D"/>
    <w:rsid w:val="00A20747"/>
    <w:rsid w:val="00A71D34"/>
    <w:rsid w:val="00AB4D4E"/>
    <w:rsid w:val="00BB5C9B"/>
    <w:rsid w:val="00BF6102"/>
    <w:rsid w:val="00D81BC4"/>
    <w:rsid w:val="16461969"/>
    <w:rsid w:val="35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Cabeçalho Char"/>
    <w:basedOn w:val="11"/>
    <w:link w:val="13"/>
    <w:qFormat/>
    <w:uiPriority w:val="99"/>
  </w:style>
  <w:style w:type="character" w:customStyle="1" w:styleId="17">
    <w:name w:val="Rodapé Char"/>
    <w:basedOn w:val="11"/>
    <w:link w:val="14"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grame"/>
    <w:basedOn w:val="11"/>
    <w:qFormat/>
    <w:uiPriority w:val="0"/>
  </w:style>
  <w:style w:type="character" w:customStyle="1" w:styleId="20">
    <w:name w:val="spelle"/>
    <w:basedOn w:val="11"/>
    <w:uiPriority w:val="0"/>
  </w:style>
  <w:style w:type="character" w:customStyle="1" w:styleId="21">
    <w:name w:val="Texto de balão Char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Título 1 Char"/>
    <w:basedOn w:val="11"/>
    <w:link w:val="2"/>
    <w:qFormat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3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5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6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7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28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3417</Characters>
  <Lines>28</Lines>
  <Paragraphs>8</Paragraphs>
  <TotalTime>74</TotalTime>
  <ScaleCrop>false</ScaleCrop>
  <LinksUpToDate>false</LinksUpToDate>
  <CharactersWithSpaces>4041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2018-03-05T19:51:00Z</dcterms:created>
  <dc:creator>Adriana de Jesus Felipe</dc:creator>
  <cp:lastModifiedBy>Silvany Geralda Corrêa</cp:lastModifiedBy>
  <dcterms:modified xsi:type="dcterms:W3CDTF">2023-05-26T20:26:13Z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FF8A060D36074301AB01D7928F8FEB8E</vt:lpwstr>
  </property>
</Properties>
</file>